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32C60" w14:textId="77777777" w:rsidR="00C83C51" w:rsidRPr="00C83C51" w:rsidRDefault="00C83C51" w:rsidP="00340D7F">
      <w:pPr>
        <w:spacing w:after="0" w:line="240" w:lineRule="auto"/>
        <w:ind w:left="3600" w:firstLine="720"/>
        <w:rPr>
          <w:rFonts w:ascii="Sylfaen" w:hAnsi="Sylfaen" w:cs="Times New Roman"/>
          <w:b/>
          <w:color w:val="000000" w:themeColor="text1"/>
          <w:sz w:val="24"/>
          <w:szCs w:val="24"/>
        </w:rPr>
      </w:pPr>
      <w:r w:rsidRPr="00C83C51">
        <w:rPr>
          <w:rFonts w:ascii="Sylfaen" w:hAnsi="Sylfaen" w:cs="Times New Roman"/>
          <w:b/>
          <w:color w:val="000000" w:themeColor="text1"/>
          <w:sz w:val="24"/>
          <w:szCs w:val="24"/>
        </w:rPr>
        <w:t>ECDC</w:t>
      </w:r>
    </w:p>
    <w:p w14:paraId="70EA2D79" w14:textId="77777777" w:rsidR="00C83C51" w:rsidRDefault="00C83C51" w:rsidP="00340D7F">
      <w:pPr>
        <w:spacing w:after="0" w:line="240" w:lineRule="auto"/>
        <w:jc w:val="center"/>
        <w:rPr>
          <w:rFonts w:ascii="Sylfaen" w:hAnsi="Sylfaen" w:cs="Times New Roman"/>
          <w:color w:val="000000" w:themeColor="text1"/>
          <w:sz w:val="24"/>
          <w:szCs w:val="24"/>
        </w:rPr>
      </w:pPr>
      <w:r w:rsidRPr="00C83C51">
        <w:rPr>
          <w:rFonts w:ascii="Sylfaen" w:hAnsi="Sylfaen" w:cs="Times New Roman"/>
          <w:color w:val="000000" w:themeColor="text1"/>
          <w:sz w:val="24"/>
          <w:szCs w:val="24"/>
        </w:rPr>
        <w:t>European Centre for Disease Prevention and Control</w:t>
      </w:r>
    </w:p>
    <w:p w14:paraId="62DF698D" w14:textId="77777777" w:rsidR="00340D7F" w:rsidRPr="00C83C51" w:rsidRDefault="00340D7F" w:rsidP="00340D7F">
      <w:pPr>
        <w:spacing w:after="0" w:line="240" w:lineRule="auto"/>
        <w:jc w:val="center"/>
        <w:rPr>
          <w:rFonts w:ascii="Sylfaen" w:hAnsi="Sylfaen" w:cs="Times New Roman"/>
          <w:color w:val="000000" w:themeColor="text1"/>
          <w:sz w:val="24"/>
          <w:szCs w:val="24"/>
        </w:rPr>
      </w:pPr>
    </w:p>
    <w:p w14:paraId="2FE123F6" w14:textId="77777777" w:rsidR="00C83C51" w:rsidRPr="00C83C51" w:rsidRDefault="00C83C51" w:rsidP="00C83C51">
      <w:pPr>
        <w:jc w:val="center"/>
        <w:rPr>
          <w:rFonts w:ascii="Sylfaen" w:hAnsi="Sylfaen" w:cs="Times New Roman"/>
          <w:color w:val="000000" w:themeColor="text1"/>
          <w:sz w:val="24"/>
          <w:szCs w:val="24"/>
        </w:rPr>
      </w:pPr>
      <w:r w:rsidRPr="00C83C51">
        <w:rPr>
          <w:rFonts w:ascii="Sylfaen" w:hAnsi="Sylfaen" w:cs="Times New Roman"/>
          <w:color w:val="000000" w:themeColor="text1"/>
          <w:sz w:val="24"/>
          <w:szCs w:val="24"/>
        </w:rPr>
        <w:t>(დაავადებათა პრევენციისა და კონტროლის ევროპული ცენტრი)</w:t>
      </w:r>
    </w:p>
    <w:p w14:paraId="6B2D50C2" w14:textId="7D6EB49F" w:rsidR="00210026" w:rsidRPr="00A423CE" w:rsidRDefault="00A423CE" w:rsidP="00455A61">
      <w:pPr>
        <w:ind w:firstLine="720"/>
        <w:jc w:val="both"/>
        <w:rPr>
          <w:rFonts w:ascii="Sylfaen" w:hAnsi="Sylfaen" w:cs="Times New Roman"/>
          <w:color w:val="000000" w:themeColor="text1"/>
          <w:sz w:val="24"/>
          <w:szCs w:val="24"/>
          <w:lang w:val="ka-GE"/>
        </w:rPr>
      </w:pPr>
      <w:r>
        <w:rPr>
          <w:rFonts w:ascii="Sylfaen" w:hAnsi="Sylfaen" w:cs="Times New Roman"/>
          <w:color w:val="000000" w:themeColor="text1"/>
          <w:sz w:val="24"/>
          <w:szCs w:val="24"/>
        </w:rPr>
        <w:t>ECDC-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ი არის </w:t>
      </w:r>
      <w:r w:rsidR="006D134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ევრო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კ</w:t>
      </w:r>
      <w:r w:rsidR="006D134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ა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ვშირის სააგენტო, რომელიც მიზნად ისახავს </w:t>
      </w:r>
      <w:r w:rsidR="00455A61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ინფექციურ დაავადებათა წინააღდეგ 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მექანიზმების გაძლიერება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. სააგენტოს </w:t>
      </w:r>
      <w:r w:rsidR="000F0480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ძირითადი 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ფუნქციები  საქმიანობათა ფართო სპექტრს</w:t>
      </w:r>
      <w:r w:rsidR="00455A61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მოიცავს</w:t>
      </w:r>
      <w:r w:rsidR="00BF026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: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ინფორმაციის შეგროვება ეპიდემიების შესახებ, </w:t>
      </w:r>
      <w:r w:rsidR="000F0480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საპასუხო ქმედებების</w:t>
      </w:r>
      <w:r w:rsidR="009C66F3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განსაზღვრა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, სამეცნიერო </w:t>
      </w:r>
      <w:r w:rsidR="000F0480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დასკვნების მომზადება</w:t>
      </w:r>
      <w:r w:rsidR="0021002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, </w:t>
      </w:r>
      <w:r w:rsidR="000F0480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ჯანმრთელობასთან დაკავშირებულ საკითხებზე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საზოგადოების </w:t>
      </w:r>
      <w:r w:rsidR="000F0480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ცნობიერების ამაღლება.</w:t>
      </w:r>
      <w:r w:rsidR="00210026" w:rsidRPr="00A423C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21002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სააგენტო მდებარეობს</w:t>
      </w:r>
      <w:r w:rsidR="007A0819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21002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ქ.</w:t>
      </w:r>
      <w:r w:rsidR="00455A61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21002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სოლნაში.</w:t>
      </w:r>
      <w:r w:rsidR="00210026" w:rsidRPr="00A423C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ECDC</w:t>
      </w:r>
      <w:r w:rsidR="009C66F3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21002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ევროკავშირის წევრი ქვეყნების გარდა თანამშრომლობს </w:t>
      </w:r>
      <w:r w:rsidR="00210026" w:rsidRPr="00A423C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EFTA-</w:t>
      </w:r>
      <w:r w:rsidR="0021002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 ქვეყნებთან და</w:t>
      </w:r>
      <w:r w:rsidR="00455A61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,</w:t>
      </w:r>
      <w:r w:rsidR="00210026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ასევე, მესამე ქვეყნებთან.</w:t>
      </w:r>
      <w:r w:rsidR="007A0819" w:rsidRPr="00A423C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</w:p>
    <w:p w14:paraId="44800BC0" w14:textId="77777777" w:rsidR="00EB423B" w:rsidRDefault="00C83C51" w:rsidP="00D7544C">
      <w:pPr>
        <w:ind w:firstLine="720"/>
        <w:jc w:val="both"/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</w:pPr>
      <w:r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 xml:space="preserve">თანამშრომლობა </w:t>
      </w:r>
      <w:r w:rsidRPr="00EB423B"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>საქართველოს</w:t>
      </w:r>
      <w:r w:rsidR="00EB423B"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>ა</w:t>
      </w:r>
      <w:r w:rsidR="00EB423B" w:rsidRPr="003F3D35">
        <w:rPr>
          <w:rFonts w:ascii="Sylfaen" w:hAnsi="Sylfaen" w:cs="Times New Roman"/>
          <w:color w:val="000000" w:themeColor="text1"/>
          <w:sz w:val="24"/>
          <w:szCs w:val="24"/>
          <w:u w:val="single"/>
          <w:lang w:val="ka-GE"/>
        </w:rPr>
        <w:t xml:space="preserve"> </w:t>
      </w:r>
      <w:r w:rsidR="00455A61"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 xml:space="preserve">და  </w:t>
      </w:r>
      <w:r w:rsidR="00455A61" w:rsidRPr="00A423CE"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 xml:space="preserve"> ECDC</w:t>
      </w:r>
      <w:r w:rsidR="00EB423B" w:rsidRPr="003F3D35"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>-</w:t>
      </w:r>
      <w:r w:rsidR="00EB423B" w:rsidRPr="00EB423B"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>ს</w:t>
      </w:r>
      <w:r w:rsidR="00EB423B"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  <w:t xml:space="preserve"> შორის:</w:t>
      </w:r>
    </w:p>
    <w:p w14:paraId="7F4FA687" w14:textId="77777777" w:rsidR="00C42823" w:rsidRPr="00EB423B" w:rsidRDefault="003A7561" w:rsidP="00D7544C">
      <w:pPr>
        <w:ind w:firstLine="720"/>
        <w:jc w:val="both"/>
        <w:rPr>
          <w:rFonts w:ascii="Sylfaen" w:hAnsi="Sylfaen" w:cs="Times New Roman"/>
          <w:b/>
          <w:color w:val="000000" w:themeColor="text1"/>
          <w:sz w:val="24"/>
          <w:szCs w:val="24"/>
          <w:u w:val="single"/>
          <w:lang w:val="ka-GE"/>
        </w:rPr>
      </w:pPr>
      <w:r w:rsidRPr="003F3D3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ECDC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-სთან 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საქართველო თანამშრომლობს 2014 წლიდან. </w:t>
      </w:r>
      <w:r w:rsidR="00455A61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ამ </w:t>
      </w:r>
      <w:r w:rsidR="00EB423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თანამშრომლობის ფარგლებში, 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ქართულ</w:t>
      </w:r>
      <w:r w:rsidR="00EB423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მა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EB423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მხარემ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C97405" w:rsidRPr="00EB423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გადამდები დაავადებების პრევენციის, კონტროლის</w:t>
      </w:r>
      <w:r w:rsidR="00C97405">
        <w:rPr>
          <w:rFonts w:ascii="Sylfaen" w:hAnsi="Sylfaen" w:cs="Times New Roman"/>
          <w:b/>
          <w:color w:val="000000" w:themeColor="text1"/>
          <w:sz w:val="24"/>
          <w:szCs w:val="24"/>
          <w:lang w:val="ka-GE"/>
        </w:rPr>
        <w:t xml:space="preserve"> </w:t>
      </w:r>
      <w:r w:rsidR="00C9740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და მკურნალობის საკითხზე</w:t>
      </w:r>
      <w:r w:rsidR="00BE2BF2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მრავალ კონფერენციაში, </w:t>
      </w:r>
      <w:r w:rsidR="00C42823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სემინარსა</w:t>
      </w:r>
      <w:r w:rsid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და შეხვედრა</w:t>
      </w:r>
      <w:r w:rsidR="00E50F9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ში</w:t>
      </w:r>
      <w:r w:rsidR="00BE2BF2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455A61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მიიღო </w:t>
      </w:r>
      <w:r w:rsidR="00C9740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მონაწილეობა</w:t>
      </w:r>
      <w:r w:rsidR="00EB423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. </w:t>
      </w:r>
    </w:p>
    <w:p w14:paraId="2DB48AD2" w14:textId="69AED002" w:rsidR="00D5552B" w:rsidRDefault="00C42823" w:rsidP="0072237B">
      <w:pPr>
        <w:ind w:firstLine="720"/>
        <w:jc w:val="both"/>
        <w:rPr>
          <w:rFonts w:ascii="Sylfaen" w:hAnsi="Sylfaen" w:cs="Times New Roman"/>
          <w:color w:val="000000" w:themeColor="text1"/>
          <w:sz w:val="24"/>
          <w:szCs w:val="24"/>
          <w:lang w:val="ka-GE"/>
        </w:rPr>
      </w:pPr>
      <w:r w:rsidRPr="003F3D3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ECDC</w:t>
      </w:r>
      <w:r w:rsidR="00C13F5A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-ი</w:t>
      </w:r>
      <w:bookmarkStart w:id="0" w:name="_GoBack"/>
      <w:bookmarkEnd w:id="0"/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2C27BE" w:rsidRPr="004A49A7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ევროკავშირის</w:t>
      </w:r>
      <w:r w:rsidR="002C27BE">
        <w:rPr>
          <w:rFonts w:ascii="Sylfaen" w:hAnsi="Sylfaen" w:cs="Times New Roman"/>
          <w:b/>
          <w:color w:val="000000" w:themeColor="text1"/>
          <w:sz w:val="24"/>
          <w:szCs w:val="24"/>
          <w:lang w:val="ka-GE"/>
        </w:rPr>
        <w:t xml:space="preserve"> </w:t>
      </w:r>
      <w:r w:rsidR="003F3D3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პროექტის</w:t>
      </w:r>
      <w:r w:rsidR="00455A61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: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1D0F7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„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ხმელთაშუა ზღვის  </w:t>
      </w:r>
      <w:r w:rsidR="001D0F7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რეგიონის 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ეპიდემიოლოგი</w:t>
      </w:r>
      <w:r w:rsidR="001D0F7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ის სასწავლო პროგრამის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შემდგომი განვითარებ</w:t>
      </w:r>
      <w:r w:rsidR="001D0F7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ა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და კონსოლიდაცი</w:t>
      </w:r>
      <w:r w:rsidR="001D0F7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ა“ (</w:t>
      </w:r>
      <w:r w:rsidR="001D0F7E" w:rsidRPr="003F3D35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MediPIET</w:t>
      </w:r>
      <w:r w:rsidR="001D0F7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) სამეცნიერო ლიდერ</w:t>
      </w:r>
      <w:r w:rsidR="0021388A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ია</w:t>
      </w:r>
      <w:r w:rsidR="001D0F7E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. პროექტი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ევროკავშირის მიერ</w:t>
      </w:r>
      <w:r w:rsidR="0021388A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ფინანსდება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. 2015-2017 წლებში, </w:t>
      </w:r>
      <w:r w:rsidR="001D0F7E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ქართველმა</w:t>
      </w:r>
      <w:r w:rsidR="00260AE8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1D0F7E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ეპიდემიოლოგებმა</w:t>
      </w:r>
      <w:r w:rsidR="00260AE8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და ჯანდაცვის </w:t>
      </w:r>
      <w:r w:rsidR="001D0F7E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სპეციალისტებმა</w:t>
      </w:r>
      <w:r w:rsidR="00260AE8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2C27BE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მონაწილეობა მიიღეს </w:t>
      </w:r>
      <w:r w:rsidR="00260AE8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MediPIET-ის</w:t>
      </w:r>
      <w:r w:rsidR="004E3688" w:rsidRPr="004A49A7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2C27BE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სხვადასხვა ტრენინგში</w:t>
      </w:r>
      <w:r w:rsidR="00260AE8" w:rsidRPr="0060652D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.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 ტრეინინგი</w:t>
      </w:r>
      <w:r w:rsidR="0021388A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31 ქართველმა სპეციალისტმა გაიარა</w:t>
      </w:r>
      <w:r w:rsidR="0072237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, </w:t>
      </w:r>
      <w:r w:rsidR="0072237B" w:rsidRPr="0072237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რამაც მათ ცოდნის </w:t>
      </w:r>
      <w:r w:rsidR="0021388A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გაღრმავების</w:t>
      </w:r>
      <w:r w:rsidR="0021388A" w:rsidRPr="0072237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, </w:t>
      </w:r>
      <w:r w:rsidR="0072237B" w:rsidRPr="0072237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უნარების გაუმჯობესების და ხმელთაშუა ზღვის ქვეყნებიდან კოლეგებთან ურთიერთობის დამყარების შესაძლებლობა მისცა.</w:t>
      </w:r>
      <w:r w:rsidR="0072237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შედეგად, 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9 ექსპერტი გახდა ტრენერთა ტრენერი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ისეთი მიმართულებებით, როგორიც არის 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საგანგებო სიტუაციისთვის 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მზადყოფნა, 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ეპიდემი</w:t>
      </w:r>
      <w:r w:rsidR="0021388A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ების წინასწარი იდენტიფიცირება</w:t>
      </w:r>
      <w:r w:rsidR="00521F09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,</w:t>
      </w:r>
      <w:r w:rsidR="007C058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რისკების 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მართვა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, ლტოლვილთა და მიგრანტთა ჯანდაცვა</w:t>
      </w:r>
      <w:r w:rsidR="0072237B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და ასევე,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ინფექციურ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დაავადებათა გავრცელებ</w:t>
      </w:r>
      <w:r w:rsidR="00521F09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ასთან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დაკავშირებულ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ი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ეთიკურ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ი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საკითხებ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ი. 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ქართველმა მონაწილეებმა 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ყოველწლიურ სამეცნიერო კონფერენციაზე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2016-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2018 წლებში</w:t>
      </w:r>
      <w:r w:rsidR="00521F09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19 ნაშრომი წარადგინეს</w:t>
      </w:r>
      <w:r w:rsidR="00260AE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.</w:t>
      </w:r>
    </w:p>
    <w:p w14:paraId="023E64D9" w14:textId="77777777" w:rsidR="00C42823" w:rsidRPr="00C42823" w:rsidRDefault="00C42823" w:rsidP="00907ECC">
      <w:pPr>
        <w:spacing w:after="0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ამჟამად</w:t>
      </w:r>
      <w:r w:rsidR="00D7544C">
        <w:rPr>
          <w:rFonts w:ascii="Sylfaen" w:hAnsi="Sylfaen" w:cs="Times New Roman"/>
          <w:sz w:val="24"/>
          <w:szCs w:val="24"/>
          <w:lang w:val="ka-GE"/>
        </w:rPr>
        <w:t xml:space="preserve">, საქართველო მუშაობს </w:t>
      </w:r>
      <w:r w:rsidR="00D7544C" w:rsidRPr="00D7544C">
        <w:rPr>
          <w:rFonts w:ascii="Sylfaen" w:hAnsi="Sylfaen" w:cs="Times New Roman"/>
          <w:sz w:val="24"/>
          <w:szCs w:val="24"/>
          <w:lang w:val="ka-GE"/>
        </w:rPr>
        <w:t xml:space="preserve">„ხმელთაშუა ზღვის </w:t>
      </w:r>
      <w:r w:rsidR="00D7544C">
        <w:rPr>
          <w:rFonts w:ascii="Sylfaen" w:hAnsi="Sylfaen" w:cs="Times New Roman"/>
          <w:sz w:val="24"/>
          <w:szCs w:val="24"/>
          <w:lang w:val="ka-GE"/>
        </w:rPr>
        <w:t>და შავი ზღვის</w:t>
      </w:r>
      <w:r w:rsidR="00D7544C" w:rsidRPr="00D7544C">
        <w:rPr>
          <w:rFonts w:ascii="Sylfaen" w:hAnsi="Sylfaen" w:cs="Times New Roman"/>
          <w:sz w:val="24"/>
          <w:szCs w:val="24"/>
          <w:lang w:val="ka-GE"/>
        </w:rPr>
        <w:t xml:space="preserve"> რეგიონის ეპიდემიოლოგიის</w:t>
      </w:r>
      <w:r w:rsidR="00907ECC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D7544C" w:rsidRPr="00D7544C">
        <w:rPr>
          <w:rFonts w:ascii="Sylfaen" w:hAnsi="Sylfaen" w:cs="Times New Roman"/>
          <w:sz w:val="24"/>
          <w:szCs w:val="24"/>
          <w:lang w:val="ka-GE"/>
        </w:rPr>
        <w:t xml:space="preserve">სასწავლო პროგრამის შემდგომი </w:t>
      </w:r>
      <w:r w:rsidR="00D7544C">
        <w:rPr>
          <w:rFonts w:ascii="Sylfaen" w:hAnsi="Sylfaen" w:cs="Times New Roman"/>
          <w:sz w:val="24"/>
          <w:szCs w:val="24"/>
          <w:lang w:val="ka-GE"/>
        </w:rPr>
        <w:t>განვითარებისა და კონსოლიდაციის მიმართულებით (კონსოლიდაციის ფაზა 2018-2020 წლები).</w:t>
      </w:r>
    </w:p>
    <w:p w14:paraId="2EAF820B" w14:textId="77777777" w:rsidR="00907ECC" w:rsidRDefault="006865E4" w:rsidP="004A49A7">
      <w:pPr>
        <w:ind w:firstLine="720"/>
        <w:jc w:val="both"/>
        <w:rPr>
          <w:rFonts w:ascii="Sylfaen" w:hAnsi="Sylfaen" w:cs="Times New Roman"/>
          <w:color w:val="000000" w:themeColor="text1"/>
          <w:sz w:val="24"/>
          <w:szCs w:val="24"/>
          <w:lang w:val="ka-GE"/>
        </w:rPr>
      </w:pPr>
      <w:r w:rsidRPr="006865E4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ECDC</w:t>
      </w:r>
      <w:r w:rsidR="00D7544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-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სთან თანამშრომლობა</w:t>
      </w:r>
      <w:r w:rsidR="00D7544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საქართველოს </w:t>
      </w:r>
      <w:r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დაეხმარება</w:t>
      </w:r>
      <w:r w:rsidR="00D7544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,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</w:t>
      </w:r>
      <w:r w:rsidR="00907ECC" w:rsidRP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გადამდებ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ი</w:t>
      </w:r>
      <w:r w:rsidR="00907ECC" w:rsidRP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დაავადებ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ების </w:t>
      </w:r>
      <w:r w:rsidR="00521F09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შესახებ 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ევროკავშირის წევრი ქვეყნებიდან მიღებული ინფორმაციის </w:t>
      </w:r>
      <w:r w:rsidR="00907ECC">
        <w:rPr>
          <w:rFonts w:ascii="Sylfaen" w:hAnsi="Sylfaen" w:cs="Times New Roman"/>
          <w:color w:val="000000" w:themeColor="text1"/>
          <w:sz w:val="24"/>
          <w:szCs w:val="24"/>
          <w:lang w:val="ka-GE"/>
        </w:rPr>
        <w:lastRenderedPageBreak/>
        <w:t>უკეთ გაანალიზებაში</w:t>
      </w:r>
      <w:r w:rsidR="00521F09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და  შესაბამისად</w:t>
      </w:r>
      <w:r w:rsidR="007C0588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,</w:t>
      </w:r>
      <w:r w:rsidR="00521F09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გადამდებ დაავადებებთან ბრძოლის დაგეგმვაში.</w:t>
      </w:r>
    </w:p>
    <w:p w14:paraId="1E1CB618" w14:textId="77777777" w:rsidR="007A0819" w:rsidRPr="002C51C2" w:rsidRDefault="007A0819" w:rsidP="00907ECC">
      <w:pPr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2C51C2">
        <w:rPr>
          <w:rFonts w:ascii="Sylfaen" w:eastAsia="Times New Roman" w:hAnsi="Sylfaen" w:cs="Times New Roman"/>
          <w:i/>
          <w:color w:val="000000"/>
          <w:sz w:val="24"/>
          <w:szCs w:val="24"/>
          <w:lang w:val="ka-GE"/>
        </w:rPr>
        <w:t>გთხოვთ, გადახედოთ მოცემულ ტექსტს, ჩაასწოროთ/დაამატოთ (</w:t>
      </w:r>
      <w:r w:rsidRPr="00D7544C">
        <w:rPr>
          <w:rFonts w:ascii="Sylfaen" w:eastAsia="Times New Roman" w:hAnsi="Sylfaen" w:cs="Times New Roman"/>
          <w:i/>
          <w:color w:val="000000"/>
          <w:sz w:val="24"/>
          <w:szCs w:val="24"/>
          <w:lang w:val="ka-GE"/>
        </w:rPr>
        <w:t>track-change-</w:t>
      </w:r>
      <w:r w:rsidRPr="002C51C2">
        <w:rPr>
          <w:rFonts w:ascii="Sylfaen" w:eastAsia="Times New Roman" w:hAnsi="Sylfaen" w:cs="Times New Roman"/>
          <w:i/>
          <w:color w:val="000000"/>
          <w:sz w:val="24"/>
          <w:szCs w:val="24"/>
          <w:lang w:val="ka-GE"/>
        </w:rPr>
        <w:t>ების ფორმატით</w:t>
      </w:r>
      <w:r w:rsidR="00AD39E3">
        <w:rPr>
          <w:rFonts w:ascii="Sylfaen" w:eastAsia="Times New Roman" w:hAnsi="Sylfaen" w:cs="Times New Roman"/>
          <w:i/>
          <w:color w:val="000000"/>
          <w:sz w:val="24"/>
          <w:szCs w:val="24"/>
          <w:lang w:val="ka-GE"/>
        </w:rPr>
        <w:t xml:space="preserve">) თქვენი შეხედულებისამებრ </w:t>
      </w:r>
      <w:r>
        <w:rPr>
          <w:rFonts w:ascii="Sylfaen" w:eastAsia="Times New Roman" w:hAnsi="Sylfaen" w:cs="Times New Roman"/>
          <w:i/>
          <w:color w:val="000000"/>
          <w:sz w:val="24"/>
          <w:szCs w:val="24"/>
          <w:lang w:val="ka-GE"/>
        </w:rPr>
        <w:t>და შეძლების</w:t>
      </w:r>
      <w:r w:rsidRPr="002C51C2">
        <w:rPr>
          <w:rFonts w:ascii="Sylfaen" w:eastAsia="Times New Roman" w:hAnsi="Sylfaen" w:cs="Times New Roman"/>
          <w:i/>
          <w:color w:val="000000"/>
          <w:sz w:val="24"/>
          <w:szCs w:val="24"/>
          <w:lang w:val="ka-GE"/>
        </w:rPr>
        <w:t>დ</w:t>
      </w:r>
      <w:r>
        <w:rPr>
          <w:rFonts w:ascii="Sylfaen" w:eastAsia="Times New Roman" w:hAnsi="Sylfaen" w:cs="Times New Roman"/>
          <w:i/>
          <w:color w:val="000000"/>
          <w:sz w:val="24"/>
          <w:szCs w:val="24"/>
          <w:lang w:val="ka-GE"/>
        </w:rPr>
        <w:t>აგვარად გასცეთ პასუხი კითხვებს</w:t>
      </w:r>
      <w:r w:rsidRPr="002C51C2">
        <w:rPr>
          <w:rFonts w:ascii="Sylfaen" w:eastAsia="Times New Roman" w:hAnsi="Sylfaen" w:cs="Times New Roman"/>
          <w:i/>
          <w:color w:val="000000"/>
          <w:sz w:val="24"/>
          <w:szCs w:val="24"/>
          <w:lang w:val="ka-GE"/>
        </w:rPr>
        <w:t xml:space="preserve"> მაგ., ხომ არ გეგმავთ თანამშრომლობის კიდევ უფრო გაღრმავებას სააგენტოსთან? როგორ დაეხმარება თანამშრომლობის გაძლიერება საქართველოს?   </w:t>
      </w:r>
    </w:p>
    <w:p w14:paraId="4E8275E2" w14:textId="77777777" w:rsidR="007A0819" w:rsidRPr="00D7544C" w:rsidRDefault="007A0819" w:rsidP="00C83C51">
      <w:pPr>
        <w:jc w:val="both"/>
        <w:rPr>
          <w:rFonts w:ascii="Sylfaen" w:hAnsi="Sylfaen" w:cs="Times New Roman"/>
          <w:color w:val="000000" w:themeColor="text1"/>
          <w:sz w:val="24"/>
          <w:szCs w:val="24"/>
          <w:lang w:val="ka-GE"/>
        </w:rPr>
      </w:pPr>
    </w:p>
    <w:p w14:paraId="7DF13DA8" w14:textId="77777777" w:rsidR="00C83C51" w:rsidRPr="00D7544C" w:rsidRDefault="00C83C51" w:rsidP="00C83C51">
      <w:pPr>
        <w:jc w:val="both"/>
        <w:rPr>
          <w:rFonts w:ascii="Times New Roman" w:hAnsi="Times New Roman" w:cs="Times New Roman"/>
          <w:color w:val="000000" w:themeColor="text1"/>
          <w:lang w:val="ka-GE"/>
        </w:rPr>
      </w:pPr>
    </w:p>
    <w:p w14:paraId="2AD75F14" w14:textId="77777777" w:rsidR="00C83C51" w:rsidRPr="00D7544C" w:rsidRDefault="00C83C51" w:rsidP="00C83C51">
      <w:pPr>
        <w:jc w:val="both"/>
        <w:rPr>
          <w:rFonts w:ascii="Times New Roman" w:hAnsi="Times New Roman" w:cs="Times New Roman"/>
          <w:color w:val="000000" w:themeColor="text1"/>
          <w:lang w:val="ka-GE"/>
        </w:rPr>
      </w:pPr>
    </w:p>
    <w:p w14:paraId="23673E49" w14:textId="77777777" w:rsidR="00C83C51" w:rsidRPr="00D7544C" w:rsidRDefault="00C83C51" w:rsidP="00C83C51">
      <w:pPr>
        <w:rPr>
          <w:rFonts w:ascii="Times New Roman" w:hAnsi="Times New Roman" w:cs="Times New Roman"/>
          <w:b/>
          <w:color w:val="000000" w:themeColor="text1"/>
          <w:lang w:val="ka-GE"/>
        </w:rPr>
      </w:pPr>
    </w:p>
    <w:p w14:paraId="4ACD3CF4" w14:textId="77777777" w:rsidR="00C27485" w:rsidRPr="00D7544C" w:rsidRDefault="00C27485">
      <w:pPr>
        <w:rPr>
          <w:lang w:val="ka-GE"/>
        </w:rPr>
      </w:pPr>
    </w:p>
    <w:sectPr w:rsidR="00C27485" w:rsidRPr="00D7544C" w:rsidSect="002A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E05"/>
    <w:multiLevelType w:val="hybridMultilevel"/>
    <w:tmpl w:val="A65A7014"/>
    <w:lvl w:ilvl="0" w:tplc="5010D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EE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A42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8F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E7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0D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E4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6A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A9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753733"/>
    <w:multiLevelType w:val="hybridMultilevel"/>
    <w:tmpl w:val="A13E626C"/>
    <w:lvl w:ilvl="0" w:tplc="635A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8E8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B272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4EC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484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E17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7A9E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E2B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0EE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57C53"/>
    <w:multiLevelType w:val="hybridMultilevel"/>
    <w:tmpl w:val="B3FE88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compat>
    <w:compatSetting w:name="compatibilityMode" w:uri="http://schemas.microsoft.com/office/word" w:val="12"/>
  </w:compat>
  <w:rsids>
    <w:rsidRoot w:val="00C83C51"/>
    <w:rsid w:val="0001378C"/>
    <w:rsid w:val="000F0480"/>
    <w:rsid w:val="001D0F7E"/>
    <w:rsid w:val="00210026"/>
    <w:rsid w:val="0021388A"/>
    <w:rsid w:val="00260AE8"/>
    <w:rsid w:val="002C27BE"/>
    <w:rsid w:val="00316802"/>
    <w:rsid w:val="00340D7F"/>
    <w:rsid w:val="003745EB"/>
    <w:rsid w:val="003A7561"/>
    <w:rsid w:val="003D18D9"/>
    <w:rsid w:val="003F3D35"/>
    <w:rsid w:val="00455A61"/>
    <w:rsid w:val="004576D0"/>
    <w:rsid w:val="004A49A7"/>
    <w:rsid w:val="004E3688"/>
    <w:rsid w:val="004F50D6"/>
    <w:rsid w:val="00521F09"/>
    <w:rsid w:val="005C74E4"/>
    <w:rsid w:val="0060652D"/>
    <w:rsid w:val="00632122"/>
    <w:rsid w:val="006865E4"/>
    <w:rsid w:val="006D134C"/>
    <w:rsid w:val="0072237B"/>
    <w:rsid w:val="007A0819"/>
    <w:rsid w:val="007C0588"/>
    <w:rsid w:val="008C700B"/>
    <w:rsid w:val="008D60F9"/>
    <w:rsid w:val="008F6A59"/>
    <w:rsid w:val="00907ECC"/>
    <w:rsid w:val="009C66F3"/>
    <w:rsid w:val="00A1643D"/>
    <w:rsid w:val="00A21748"/>
    <w:rsid w:val="00A423CE"/>
    <w:rsid w:val="00A461A0"/>
    <w:rsid w:val="00AD39E3"/>
    <w:rsid w:val="00AE67B6"/>
    <w:rsid w:val="00BC6E94"/>
    <w:rsid w:val="00BE2BF2"/>
    <w:rsid w:val="00BF026E"/>
    <w:rsid w:val="00C11F5F"/>
    <w:rsid w:val="00C13F5A"/>
    <w:rsid w:val="00C27485"/>
    <w:rsid w:val="00C42823"/>
    <w:rsid w:val="00C7088A"/>
    <w:rsid w:val="00C83C51"/>
    <w:rsid w:val="00C97405"/>
    <w:rsid w:val="00D5552B"/>
    <w:rsid w:val="00D7544C"/>
    <w:rsid w:val="00E04170"/>
    <w:rsid w:val="00E301C5"/>
    <w:rsid w:val="00E4198E"/>
    <w:rsid w:val="00E50F9C"/>
    <w:rsid w:val="00E81FB3"/>
    <w:rsid w:val="00E85D0D"/>
    <w:rsid w:val="00EB1378"/>
    <w:rsid w:val="00EB423B"/>
    <w:rsid w:val="00F82037"/>
    <w:rsid w:val="00F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394D"/>
  <w15:docId w15:val="{52D3BB8A-86D9-4D18-A02D-5FC507F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C51"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C8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C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5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83C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6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E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BD932-E698-43CE-95B6-FDA5A54E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euroint15</dc:creator>
  <cp:keywords/>
  <dc:description/>
  <cp:lastModifiedBy>Tamar Chokoraia</cp:lastModifiedBy>
  <cp:revision>9</cp:revision>
  <dcterms:created xsi:type="dcterms:W3CDTF">2018-11-01T11:53:00Z</dcterms:created>
  <dcterms:modified xsi:type="dcterms:W3CDTF">2018-11-05T10:13:00Z</dcterms:modified>
</cp:coreProperties>
</file>